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C9AB" w14:textId="7067848A" w:rsidR="00BF76DB" w:rsidRPr="006C0872" w:rsidRDefault="006C0872">
      <w:pPr>
        <w:rPr>
          <w:b/>
          <w:bCs/>
          <w:sz w:val="32"/>
          <w:szCs w:val="32"/>
        </w:rPr>
      </w:pPr>
      <w:r w:rsidRPr="006C0872">
        <w:rPr>
          <w:b/>
          <w:bCs/>
          <w:sz w:val="32"/>
          <w:szCs w:val="32"/>
        </w:rPr>
        <w:t>Churchill China plc Modern Slavery Statement</w:t>
      </w:r>
    </w:p>
    <w:p w14:paraId="08251B13" w14:textId="30D8E03E" w:rsidR="006C0872" w:rsidRDefault="006C0872">
      <w:r>
        <w:t>This statement has been prepared for the year ended 31 December 2023 in accordance with the Modern Slavery Act 2015. The statement sets out the actions carried out by the group to prevent modern slavery in its operations and supply chain.</w:t>
      </w:r>
    </w:p>
    <w:p w14:paraId="16262449" w14:textId="77777777" w:rsidR="006C0872" w:rsidRDefault="006C0872">
      <w:pPr>
        <w:rPr>
          <w:b/>
          <w:bCs/>
          <w:sz w:val="28"/>
          <w:szCs w:val="28"/>
        </w:rPr>
      </w:pPr>
      <w:r w:rsidRPr="006C0872">
        <w:rPr>
          <w:b/>
          <w:bCs/>
          <w:sz w:val="28"/>
          <w:szCs w:val="28"/>
        </w:rPr>
        <w:t>Introduction</w:t>
      </w:r>
    </w:p>
    <w:p w14:paraId="4AC9A38C" w14:textId="349421A7" w:rsidR="00A204A3" w:rsidRDefault="006C0872">
      <w:r>
        <w:t>We take our responsibility to ensure the human rights</w:t>
      </w:r>
      <w:r w:rsidR="00086688">
        <w:t xml:space="preserve"> </w:t>
      </w:r>
      <w:r>
        <w:t xml:space="preserve">of our employees and those employees within our supply chain seriously. We expect the same consideration </w:t>
      </w:r>
      <w:r w:rsidR="00086688">
        <w:t>to</w:t>
      </w:r>
      <w:r>
        <w:t xml:space="preserve"> employees from our partners as we show our own employees</w:t>
      </w:r>
      <w:r w:rsidR="00A204A3">
        <w:t>. We believe that all those involved in the supply of our products, be they suppliers, customers and other key stakeholders, should work together to deliver robust practical solutions to counter modern slavery and human trafficking.</w:t>
      </w:r>
    </w:p>
    <w:p w14:paraId="47224A8F" w14:textId="52C71FC0" w:rsidR="00DC06B6" w:rsidRDefault="00DC06B6">
      <w:r>
        <w:t>Going forward the Company will continue to review it’s policies and procedures in relation to this important subject and will carry out periodic reviews with partners to ensure compliance with Company guidelines.</w:t>
      </w:r>
    </w:p>
    <w:p w14:paraId="613C831B" w14:textId="5A8036C2" w:rsidR="000A38FD" w:rsidRPr="00F7464A" w:rsidRDefault="00BF2E75">
      <w:pPr>
        <w:rPr>
          <w:b/>
          <w:bCs/>
          <w:sz w:val="28"/>
          <w:szCs w:val="28"/>
        </w:rPr>
      </w:pPr>
      <w:r>
        <w:rPr>
          <w:b/>
          <w:bCs/>
          <w:sz w:val="28"/>
          <w:szCs w:val="28"/>
        </w:rPr>
        <w:t>Scope</w:t>
      </w:r>
    </w:p>
    <w:p w14:paraId="0FD95162" w14:textId="5DC44F8C" w:rsidR="00565008" w:rsidRDefault="00565008" w:rsidP="00565008">
      <w:r w:rsidRPr="00565008">
        <w:t xml:space="preserve">This policy applies to </w:t>
      </w:r>
      <w:r>
        <w:t>Churchill China’s</w:t>
      </w:r>
      <w:r w:rsidRPr="00565008">
        <w:t xml:space="preserve"> global business operations. Employees whose responsibilities relate to the sourcing of </w:t>
      </w:r>
      <w:r>
        <w:t>stock</w:t>
      </w:r>
      <w:r w:rsidRPr="00565008">
        <w:t>, and materials are informed and are expected to assist our compliance with these requirements, associated legislation, and regulations. This policy is reviewed annually and changes are incorporated accordingly.</w:t>
      </w:r>
    </w:p>
    <w:p w14:paraId="5B18BF20" w14:textId="28D0F8DE" w:rsidR="00CF0114" w:rsidRPr="00CF0114" w:rsidRDefault="00CF0114" w:rsidP="00565008">
      <w:pPr>
        <w:rPr>
          <w:b/>
          <w:bCs/>
          <w:sz w:val="28"/>
          <w:szCs w:val="28"/>
        </w:rPr>
      </w:pPr>
      <w:r w:rsidRPr="00CF0114">
        <w:rPr>
          <w:b/>
          <w:bCs/>
          <w:sz w:val="28"/>
          <w:szCs w:val="28"/>
        </w:rPr>
        <w:t>Our Commitment</w:t>
      </w:r>
    </w:p>
    <w:p w14:paraId="2560D303" w14:textId="6ED5D657" w:rsidR="00CF0114" w:rsidRDefault="00CF0114" w:rsidP="00CF0114">
      <w:r w:rsidRPr="00CF0114">
        <w:t>We respect the environment, the communit</w:t>
      </w:r>
      <w:r w:rsidR="00D94A1A">
        <w:t>y</w:t>
      </w:r>
      <w:r w:rsidRPr="00CF0114">
        <w:t xml:space="preserve"> in which we operate, and our employees’ human rights, and we oppose corruption. Therefore, we are committed to conducting our worldwide business operations in a manner that complies with applicable laws and regulations. We are also committed to taking steps to ensure that slavery and human trafficking is not taking place in any part of our supply chain or in any part of our business. </w:t>
      </w:r>
    </w:p>
    <w:p w14:paraId="3B4A4997" w14:textId="3C324034" w:rsidR="00D94A1A" w:rsidRPr="00D94A1A" w:rsidRDefault="00D94A1A" w:rsidP="00CF0114">
      <w:pPr>
        <w:rPr>
          <w:b/>
          <w:bCs/>
          <w:sz w:val="28"/>
          <w:szCs w:val="28"/>
        </w:rPr>
      </w:pPr>
      <w:r w:rsidRPr="00D94A1A">
        <w:rPr>
          <w:b/>
          <w:bCs/>
          <w:sz w:val="28"/>
          <w:szCs w:val="28"/>
        </w:rPr>
        <w:t>Definitions</w:t>
      </w:r>
    </w:p>
    <w:p w14:paraId="02745DD9" w14:textId="7B3704DE" w:rsidR="00540424" w:rsidRDefault="00540424" w:rsidP="00540424">
      <w:r>
        <w:t>Churchill China</w:t>
      </w:r>
      <w:r w:rsidRPr="00540424">
        <w:t xml:space="preserve"> </w:t>
      </w:r>
      <w:r>
        <w:t>supports</w:t>
      </w:r>
      <w:r w:rsidRPr="00540424">
        <w:t xml:space="preserve"> </w:t>
      </w:r>
      <w:r>
        <w:t>the United Nations Global</w:t>
      </w:r>
      <w:r w:rsidRPr="00540424">
        <w:t xml:space="preserve"> </w:t>
      </w:r>
      <w:r>
        <w:t>Compact’s</w:t>
      </w:r>
      <w:r w:rsidRPr="00540424">
        <w:t xml:space="preserve"> </w:t>
      </w:r>
      <w:r>
        <w:t xml:space="preserve">Ten Principles which are based on </w:t>
      </w:r>
      <w:r w:rsidRPr="00540424">
        <w:t xml:space="preserve">The Universal Declaration of Human Rights. </w:t>
      </w:r>
      <w:r>
        <w:t>The UNGC specific Ten Principles are:</w:t>
      </w:r>
    </w:p>
    <w:p w14:paraId="454102A8" w14:textId="77777777" w:rsidR="00540424" w:rsidRDefault="00540424" w:rsidP="00540424">
      <w:pPr>
        <w:pStyle w:val="ListParagraph"/>
        <w:numPr>
          <w:ilvl w:val="0"/>
          <w:numId w:val="2"/>
        </w:numPr>
      </w:pPr>
      <w:r>
        <w:t>Support</w:t>
      </w:r>
      <w:r w:rsidRPr="00540424">
        <w:t xml:space="preserve"> </w:t>
      </w:r>
      <w:r>
        <w:t>and</w:t>
      </w:r>
      <w:r w:rsidRPr="00540424">
        <w:t xml:space="preserve"> </w:t>
      </w:r>
      <w:r>
        <w:t>respect</w:t>
      </w:r>
      <w:r w:rsidRPr="00540424">
        <w:t xml:space="preserve"> </w:t>
      </w:r>
      <w:r>
        <w:t>the</w:t>
      </w:r>
      <w:r w:rsidRPr="00540424">
        <w:t xml:space="preserve"> </w:t>
      </w:r>
      <w:r>
        <w:t>protection</w:t>
      </w:r>
      <w:r w:rsidRPr="00540424">
        <w:t xml:space="preserve"> </w:t>
      </w:r>
      <w:r>
        <w:t>of</w:t>
      </w:r>
      <w:r w:rsidRPr="00540424">
        <w:t xml:space="preserve"> </w:t>
      </w:r>
      <w:r>
        <w:t>internationally</w:t>
      </w:r>
      <w:r w:rsidRPr="00540424">
        <w:t xml:space="preserve"> </w:t>
      </w:r>
      <w:r>
        <w:t>proclaimed</w:t>
      </w:r>
      <w:r w:rsidRPr="00540424">
        <w:t xml:space="preserve"> </w:t>
      </w:r>
      <w:r>
        <w:t>human</w:t>
      </w:r>
      <w:r w:rsidRPr="00540424">
        <w:t xml:space="preserve"> rights.</w:t>
      </w:r>
    </w:p>
    <w:p w14:paraId="6A0FC30B" w14:textId="77777777" w:rsidR="00540424" w:rsidRDefault="00540424" w:rsidP="00540424">
      <w:pPr>
        <w:pStyle w:val="ListParagraph"/>
        <w:numPr>
          <w:ilvl w:val="0"/>
          <w:numId w:val="2"/>
        </w:numPr>
      </w:pPr>
      <w:r>
        <w:t>Ensure</w:t>
      </w:r>
      <w:r w:rsidRPr="00540424">
        <w:t xml:space="preserve"> </w:t>
      </w:r>
      <w:r>
        <w:t>the</w:t>
      </w:r>
      <w:r w:rsidRPr="00540424">
        <w:t xml:space="preserve"> </w:t>
      </w:r>
      <w:r>
        <w:t>company</w:t>
      </w:r>
      <w:r w:rsidRPr="00540424">
        <w:t xml:space="preserve"> </w:t>
      </w:r>
      <w:r>
        <w:t>is not</w:t>
      </w:r>
      <w:r w:rsidRPr="00540424">
        <w:t xml:space="preserve"> </w:t>
      </w:r>
      <w:r>
        <w:t>complicit</w:t>
      </w:r>
      <w:r w:rsidRPr="00540424">
        <w:t xml:space="preserve"> </w:t>
      </w:r>
      <w:r>
        <w:t>in</w:t>
      </w:r>
      <w:r w:rsidRPr="00540424">
        <w:t xml:space="preserve"> </w:t>
      </w:r>
      <w:r>
        <w:t>human</w:t>
      </w:r>
      <w:r w:rsidRPr="00540424">
        <w:t xml:space="preserve"> </w:t>
      </w:r>
      <w:r>
        <w:t xml:space="preserve">rights </w:t>
      </w:r>
      <w:r w:rsidRPr="00540424">
        <w:t>abuses.</w:t>
      </w:r>
    </w:p>
    <w:p w14:paraId="79BA6FEF" w14:textId="77777777" w:rsidR="00540424" w:rsidRDefault="00540424" w:rsidP="00540424">
      <w:pPr>
        <w:pStyle w:val="ListParagraph"/>
        <w:numPr>
          <w:ilvl w:val="0"/>
          <w:numId w:val="2"/>
        </w:numPr>
      </w:pPr>
      <w:r>
        <w:t>Uphold</w:t>
      </w:r>
      <w:r w:rsidRPr="00540424">
        <w:t xml:space="preserve"> </w:t>
      </w:r>
      <w:r>
        <w:t>the</w:t>
      </w:r>
      <w:r w:rsidRPr="00540424">
        <w:t xml:space="preserve"> </w:t>
      </w:r>
      <w:r>
        <w:t>freedom</w:t>
      </w:r>
      <w:r w:rsidRPr="00540424">
        <w:t xml:space="preserve"> </w:t>
      </w:r>
      <w:r>
        <w:t>of</w:t>
      </w:r>
      <w:r w:rsidRPr="00540424">
        <w:t xml:space="preserve"> </w:t>
      </w:r>
      <w:r>
        <w:t>association</w:t>
      </w:r>
      <w:r w:rsidRPr="00540424">
        <w:t xml:space="preserve"> </w:t>
      </w:r>
      <w:r>
        <w:t>and</w:t>
      </w:r>
      <w:r w:rsidRPr="00540424">
        <w:t xml:space="preserve"> </w:t>
      </w:r>
      <w:r>
        <w:t>the</w:t>
      </w:r>
      <w:r w:rsidRPr="00540424">
        <w:t xml:space="preserve"> </w:t>
      </w:r>
      <w:r>
        <w:t>effective</w:t>
      </w:r>
      <w:r w:rsidRPr="00540424">
        <w:t xml:space="preserve"> </w:t>
      </w:r>
      <w:r>
        <w:t>recognition</w:t>
      </w:r>
      <w:r w:rsidRPr="00540424">
        <w:t xml:space="preserve"> </w:t>
      </w:r>
      <w:r>
        <w:t>of</w:t>
      </w:r>
      <w:r w:rsidRPr="00540424">
        <w:t xml:space="preserve"> </w:t>
      </w:r>
      <w:r>
        <w:t>the</w:t>
      </w:r>
      <w:r w:rsidRPr="00540424">
        <w:t xml:space="preserve"> </w:t>
      </w:r>
      <w:r>
        <w:t>right</w:t>
      </w:r>
      <w:r w:rsidRPr="00540424">
        <w:t xml:space="preserve"> </w:t>
      </w:r>
      <w:r>
        <w:t>to</w:t>
      </w:r>
      <w:r w:rsidRPr="00540424">
        <w:t xml:space="preserve"> </w:t>
      </w:r>
      <w:r>
        <w:t>collective</w:t>
      </w:r>
      <w:r w:rsidRPr="00540424">
        <w:t xml:space="preserve"> bargaining.</w:t>
      </w:r>
    </w:p>
    <w:p w14:paraId="00651618" w14:textId="1546CADA" w:rsidR="00540424" w:rsidRDefault="00540424" w:rsidP="00540424">
      <w:pPr>
        <w:pStyle w:val="ListParagraph"/>
        <w:numPr>
          <w:ilvl w:val="0"/>
          <w:numId w:val="2"/>
        </w:numPr>
      </w:pPr>
      <w:r>
        <w:t>Uphold</w:t>
      </w:r>
      <w:r w:rsidRPr="00540424">
        <w:t xml:space="preserve"> </w:t>
      </w:r>
      <w:r>
        <w:t>the</w:t>
      </w:r>
      <w:r w:rsidRPr="00540424">
        <w:t xml:space="preserve"> </w:t>
      </w:r>
      <w:r>
        <w:t>elimination</w:t>
      </w:r>
      <w:r w:rsidRPr="00540424">
        <w:t xml:space="preserve"> </w:t>
      </w:r>
      <w:r>
        <w:t>of</w:t>
      </w:r>
      <w:r w:rsidRPr="00540424">
        <w:t xml:space="preserve"> </w:t>
      </w:r>
      <w:r>
        <w:t>all</w:t>
      </w:r>
      <w:r w:rsidRPr="00540424">
        <w:t xml:space="preserve"> </w:t>
      </w:r>
      <w:r>
        <w:t>forms</w:t>
      </w:r>
      <w:r w:rsidRPr="00540424">
        <w:t xml:space="preserve"> </w:t>
      </w:r>
      <w:r>
        <w:t>of</w:t>
      </w:r>
      <w:r w:rsidRPr="00540424">
        <w:t xml:space="preserve"> </w:t>
      </w:r>
      <w:r>
        <w:t>forced</w:t>
      </w:r>
      <w:r w:rsidRPr="00540424">
        <w:t xml:space="preserve"> </w:t>
      </w:r>
      <w:r>
        <w:t>and</w:t>
      </w:r>
      <w:r w:rsidRPr="00540424">
        <w:t xml:space="preserve"> </w:t>
      </w:r>
      <w:r>
        <w:t>compulsory</w:t>
      </w:r>
      <w:r w:rsidRPr="00540424">
        <w:t xml:space="preserve"> labo</w:t>
      </w:r>
      <w:r w:rsidR="0094175A">
        <w:t>u</w:t>
      </w:r>
      <w:r w:rsidRPr="00540424">
        <w:t>r.</w:t>
      </w:r>
    </w:p>
    <w:p w14:paraId="410D4A58" w14:textId="57E0CC35" w:rsidR="00540424" w:rsidRDefault="00540424" w:rsidP="00540424">
      <w:pPr>
        <w:pStyle w:val="ListParagraph"/>
        <w:numPr>
          <w:ilvl w:val="0"/>
          <w:numId w:val="2"/>
        </w:numPr>
      </w:pPr>
      <w:r>
        <w:t>Uphold</w:t>
      </w:r>
      <w:r w:rsidRPr="00540424">
        <w:t xml:space="preserve"> </w:t>
      </w:r>
      <w:r>
        <w:t>the</w:t>
      </w:r>
      <w:r w:rsidRPr="00540424">
        <w:t xml:space="preserve"> </w:t>
      </w:r>
      <w:r>
        <w:t>effective</w:t>
      </w:r>
      <w:r w:rsidRPr="00540424">
        <w:t xml:space="preserve"> </w:t>
      </w:r>
      <w:r>
        <w:t>abolition</w:t>
      </w:r>
      <w:r w:rsidRPr="00540424">
        <w:t xml:space="preserve"> </w:t>
      </w:r>
      <w:r>
        <w:t>of</w:t>
      </w:r>
      <w:r w:rsidRPr="00540424">
        <w:t xml:space="preserve"> </w:t>
      </w:r>
      <w:r>
        <w:t>child</w:t>
      </w:r>
      <w:r w:rsidRPr="00540424">
        <w:t xml:space="preserve"> labo</w:t>
      </w:r>
      <w:r w:rsidR="0094175A">
        <w:t>u</w:t>
      </w:r>
      <w:r w:rsidRPr="00540424">
        <w:t>r.</w:t>
      </w:r>
    </w:p>
    <w:p w14:paraId="35E9F194" w14:textId="77777777" w:rsidR="00540424" w:rsidRDefault="00540424" w:rsidP="00540424">
      <w:pPr>
        <w:pStyle w:val="ListParagraph"/>
        <w:numPr>
          <w:ilvl w:val="0"/>
          <w:numId w:val="2"/>
        </w:numPr>
      </w:pPr>
      <w:r>
        <w:t>Eliminate</w:t>
      </w:r>
      <w:r w:rsidRPr="00540424">
        <w:t xml:space="preserve"> </w:t>
      </w:r>
      <w:r>
        <w:t>discrimination</w:t>
      </w:r>
      <w:r w:rsidRPr="00540424">
        <w:t xml:space="preserve"> </w:t>
      </w:r>
      <w:r>
        <w:t>in</w:t>
      </w:r>
      <w:r w:rsidRPr="00540424">
        <w:t xml:space="preserve"> </w:t>
      </w:r>
      <w:r>
        <w:t>employment</w:t>
      </w:r>
      <w:r w:rsidRPr="00540424">
        <w:t xml:space="preserve"> </w:t>
      </w:r>
      <w:r>
        <w:t>and</w:t>
      </w:r>
      <w:r w:rsidRPr="00540424">
        <w:t xml:space="preserve"> occupation.</w:t>
      </w:r>
    </w:p>
    <w:p w14:paraId="6AE59A4C" w14:textId="77777777" w:rsidR="00540424" w:rsidRDefault="00540424" w:rsidP="00540424">
      <w:pPr>
        <w:pStyle w:val="ListParagraph"/>
        <w:numPr>
          <w:ilvl w:val="0"/>
          <w:numId w:val="2"/>
        </w:numPr>
      </w:pPr>
      <w:r>
        <w:t>Support</w:t>
      </w:r>
      <w:r w:rsidRPr="00540424">
        <w:t xml:space="preserve"> </w:t>
      </w:r>
      <w:r>
        <w:t>a</w:t>
      </w:r>
      <w:r w:rsidRPr="00540424">
        <w:t xml:space="preserve"> </w:t>
      </w:r>
      <w:r>
        <w:t>precautionary</w:t>
      </w:r>
      <w:r w:rsidRPr="00540424">
        <w:t xml:space="preserve"> </w:t>
      </w:r>
      <w:r>
        <w:t>approach</w:t>
      </w:r>
      <w:r w:rsidRPr="00540424">
        <w:t xml:space="preserve"> </w:t>
      </w:r>
      <w:r>
        <w:t>to</w:t>
      </w:r>
      <w:r w:rsidRPr="00540424">
        <w:t xml:space="preserve"> </w:t>
      </w:r>
      <w:r>
        <w:t>environmental</w:t>
      </w:r>
      <w:r w:rsidRPr="00540424">
        <w:t xml:space="preserve"> challenges.</w:t>
      </w:r>
    </w:p>
    <w:p w14:paraId="055D4628" w14:textId="77777777" w:rsidR="00540424" w:rsidRDefault="00540424" w:rsidP="00540424">
      <w:pPr>
        <w:pStyle w:val="ListParagraph"/>
        <w:numPr>
          <w:ilvl w:val="0"/>
          <w:numId w:val="2"/>
        </w:numPr>
      </w:pPr>
      <w:r>
        <w:t>Undertake</w:t>
      </w:r>
      <w:r w:rsidRPr="00540424">
        <w:t xml:space="preserve"> </w:t>
      </w:r>
      <w:r>
        <w:t>initiatives</w:t>
      </w:r>
      <w:r w:rsidRPr="00540424">
        <w:t xml:space="preserve"> </w:t>
      </w:r>
      <w:r>
        <w:t>to</w:t>
      </w:r>
      <w:r w:rsidRPr="00540424">
        <w:t xml:space="preserve"> </w:t>
      </w:r>
      <w:r>
        <w:t>promote</w:t>
      </w:r>
      <w:r w:rsidRPr="00540424">
        <w:t xml:space="preserve"> </w:t>
      </w:r>
      <w:r>
        <w:t>greater</w:t>
      </w:r>
      <w:r w:rsidRPr="00540424">
        <w:t xml:space="preserve"> </w:t>
      </w:r>
      <w:r>
        <w:t>environmental</w:t>
      </w:r>
      <w:r w:rsidRPr="00540424">
        <w:t xml:space="preserve"> responsibility.</w:t>
      </w:r>
    </w:p>
    <w:p w14:paraId="66591969" w14:textId="77777777" w:rsidR="00540424" w:rsidRDefault="00540424" w:rsidP="00540424">
      <w:pPr>
        <w:pStyle w:val="ListParagraph"/>
        <w:numPr>
          <w:ilvl w:val="0"/>
          <w:numId w:val="2"/>
        </w:numPr>
      </w:pPr>
      <w:r>
        <w:t>Encourage</w:t>
      </w:r>
      <w:r w:rsidRPr="00540424">
        <w:t xml:space="preserve"> </w:t>
      </w:r>
      <w:r>
        <w:t>the</w:t>
      </w:r>
      <w:r w:rsidRPr="00540424">
        <w:t xml:space="preserve"> </w:t>
      </w:r>
      <w:r>
        <w:t>development</w:t>
      </w:r>
      <w:r w:rsidRPr="00540424">
        <w:t xml:space="preserve"> </w:t>
      </w:r>
      <w:r>
        <w:t>and</w:t>
      </w:r>
      <w:r w:rsidRPr="00540424">
        <w:t xml:space="preserve"> </w:t>
      </w:r>
      <w:r>
        <w:t>diffusion</w:t>
      </w:r>
      <w:r w:rsidRPr="00540424">
        <w:t xml:space="preserve"> </w:t>
      </w:r>
      <w:r>
        <w:t>of</w:t>
      </w:r>
      <w:r w:rsidRPr="00540424">
        <w:t xml:space="preserve"> </w:t>
      </w:r>
      <w:r>
        <w:t>environmentally</w:t>
      </w:r>
      <w:r w:rsidRPr="00540424">
        <w:t xml:space="preserve"> </w:t>
      </w:r>
      <w:r>
        <w:t>friendly</w:t>
      </w:r>
      <w:r w:rsidRPr="00540424">
        <w:t xml:space="preserve"> technologies.</w:t>
      </w:r>
    </w:p>
    <w:p w14:paraId="0330C9C8" w14:textId="77777777" w:rsidR="00540424" w:rsidRDefault="00540424" w:rsidP="00540424">
      <w:pPr>
        <w:pStyle w:val="ListParagraph"/>
        <w:numPr>
          <w:ilvl w:val="0"/>
          <w:numId w:val="2"/>
        </w:numPr>
      </w:pPr>
      <w:r>
        <w:t>Work</w:t>
      </w:r>
      <w:r w:rsidRPr="00540424">
        <w:t xml:space="preserve"> </w:t>
      </w:r>
      <w:r>
        <w:t>against</w:t>
      </w:r>
      <w:r w:rsidRPr="00540424">
        <w:t xml:space="preserve"> </w:t>
      </w:r>
      <w:r>
        <w:t>corruption</w:t>
      </w:r>
      <w:r w:rsidRPr="00540424">
        <w:t xml:space="preserve"> </w:t>
      </w:r>
      <w:r>
        <w:t>in</w:t>
      </w:r>
      <w:r w:rsidRPr="00540424">
        <w:t xml:space="preserve"> </w:t>
      </w:r>
      <w:r>
        <w:t>all</w:t>
      </w:r>
      <w:r w:rsidRPr="00540424">
        <w:t xml:space="preserve"> </w:t>
      </w:r>
      <w:r>
        <w:t>its</w:t>
      </w:r>
      <w:r w:rsidRPr="00540424">
        <w:t xml:space="preserve"> </w:t>
      </w:r>
      <w:r>
        <w:t>forms,</w:t>
      </w:r>
      <w:r w:rsidRPr="00540424">
        <w:t xml:space="preserve"> </w:t>
      </w:r>
      <w:r>
        <w:t>including</w:t>
      </w:r>
      <w:r w:rsidRPr="00540424">
        <w:t xml:space="preserve"> </w:t>
      </w:r>
      <w:r>
        <w:t>extortion</w:t>
      </w:r>
      <w:r w:rsidRPr="00540424">
        <w:t xml:space="preserve"> </w:t>
      </w:r>
      <w:r>
        <w:t>and</w:t>
      </w:r>
      <w:r w:rsidRPr="00540424">
        <w:t xml:space="preserve"> bribery.</w:t>
      </w:r>
    </w:p>
    <w:p w14:paraId="363A8315" w14:textId="77777777" w:rsidR="0094175A" w:rsidRDefault="0094175A" w:rsidP="0094175A">
      <w:pPr>
        <w:pStyle w:val="ListParagraph"/>
      </w:pPr>
    </w:p>
    <w:p w14:paraId="4E56D9CC" w14:textId="0B1FF681" w:rsidR="00540424" w:rsidRDefault="00540424" w:rsidP="0094175A">
      <w:pPr>
        <w:pStyle w:val="BodyText"/>
        <w:rPr>
          <w:rFonts w:asciiTheme="minorHAnsi" w:eastAsiaTheme="minorHAnsi" w:hAnsiTheme="minorHAnsi" w:cstheme="minorBidi"/>
          <w:kern w:val="2"/>
          <w:sz w:val="22"/>
          <w:szCs w:val="22"/>
          <w:lang w:val="en-GB"/>
          <w14:ligatures w14:val="standardContextual"/>
        </w:rPr>
      </w:pPr>
      <w:r w:rsidRPr="0094175A">
        <w:rPr>
          <w:rFonts w:asciiTheme="minorHAnsi" w:eastAsiaTheme="minorHAnsi" w:hAnsiTheme="minorHAnsi" w:cstheme="minorBidi"/>
          <w:kern w:val="2"/>
          <w:sz w:val="22"/>
          <w:szCs w:val="22"/>
          <w:lang w:val="en-GB"/>
          <w14:ligatures w14:val="standardContextual"/>
        </w:rPr>
        <w:lastRenderedPageBreak/>
        <w:t>Under the UNGC, Human rights are the same as labo</w:t>
      </w:r>
      <w:r w:rsidR="00C70262">
        <w:rPr>
          <w:rFonts w:asciiTheme="minorHAnsi" w:eastAsiaTheme="minorHAnsi" w:hAnsiTheme="minorHAnsi" w:cstheme="minorBidi"/>
          <w:kern w:val="2"/>
          <w:sz w:val="22"/>
          <w:szCs w:val="22"/>
          <w:lang w:val="en-GB"/>
          <w14:ligatures w14:val="standardContextual"/>
        </w:rPr>
        <w:t>u</w:t>
      </w:r>
      <w:r w:rsidRPr="0094175A">
        <w:rPr>
          <w:rFonts w:asciiTheme="minorHAnsi" w:eastAsiaTheme="minorHAnsi" w:hAnsiTheme="minorHAnsi" w:cstheme="minorBidi"/>
          <w:kern w:val="2"/>
          <w:sz w:val="22"/>
          <w:szCs w:val="22"/>
          <w:lang w:val="en-GB"/>
          <w14:ligatures w14:val="standardContextual"/>
        </w:rPr>
        <w:t>r rights; human trafficking and slavery assessments adopt UNGC assessment approach and definitions.</w:t>
      </w:r>
    </w:p>
    <w:p w14:paraId="7AB35FC3" w14:textId="77777777" w:rsidR="0094175A" w:rsidRDefault="0094175A" w:rsidP="0094175A">
      <w:pPr>
        <w:pStyle w:val="BodyText"/>
      </w:pPr>
    </w:p>
    <w:p w14:paraId="75075961" w14:textId="714C0950" w:rsidR="00540424" w:rsidRDefault="00540424" w:rsidP="00540424">
      <w:r w:rsidRPr="0094175A">
        <w:rPr>
          <w:b/>
          <w:bCs/>
        </w:rPr>
        <w:t>Supply Chain</w:t>
      </w:r>
      <w:r>
        <w:t>:</w:t>
      </w:r>
      <w:r w:rsidRPr="00540424">
        <w:t xml:space="preserve"> </w:t>
      </w:r>
      <w:r>
        <w:t>Entities</w:t>
      </w:r>
      <w:r w:rsidRPr="00540424">
        <w:t xml:space="preserve"> </w:t>
      </w:r>
      <w:r>
        <w:t>with</w:t>
      </w:r>
      <w:r w:rsidRPr="00540424">
        <w:t xml:space="preserve"> </w:t>
      </w:r>
      <w:r>
        <w:t>which</w:t>
      </w:r>
      <w:r w:rsidRPr="00540424">
        <w:t xml:space="preserve"> </w:t>
      </w:r>
      <w:r>
        <w:t>the</w:t>
      </w:r>
      <w:r w:rsidRPr="00540424">
        <w:t xml:space="preserve"> </w:t>
      </w:r>
      <w:r>
        <w:t>enterprise</w:t>
      </w:r>
      <w:r w:rsidRPr="00540424">
        <w:t xml:space="preserve"> </w:t>
      </w:r>
      <w:r>
        <w:t>has</w:t>
      </w:r>
      <w:r w:rsidRPr="00540424">
        <w:t xml:space="preserve"> </w:t>
      </w:r>
      <w:r>
        <w:t>a</w:t>
      </w:r>
      <w:r w:rsidRPr="00540424">
        <w:t xml:space="preserve"> </w:t>
      </w:r>
      <w:r>
        <w:t>direct</w:t>
      </w:r>
      <w:r w:rsidRPr="00540424">
        <w:t xml:space="preserve"> </w:t>
      </w:r>
      <w:r>
        <w:t>or</w:t>
      </w:r>
      <w:r w:rsidRPr="00540424">
        <w:t xml:space="preserve"> </w:t>
      </w:r>
      <w:r>
        <w:t>indirect</w:t>
      </w:r>
      <w:r w:rsidRPr="00540424">
        <w:t xml:space="preserve"> </w:t>
      </w:r>
      <w:r>
        <w:t>business</w:t>
      </w:r>
      <w:r w:rsidRPr="00540424">
        <w:t xml:space="preserve"> </w:t>
      </w:r>
      <w:r>
        <w:t>relationship</w:t>
      </w:r>
      <w:r w:rsidRPr="00540424">
        <w:t xml:space="preserve"> </w:t>
      </w:r>
      <w:r>
        <w:t>and</w:t>
      </w:r>
      <w:r w:rsidRPr="00540424">
        <w:t xml:space="preserve"> </w:t>
      </w:r>
      <w:r>
        <w:t>which</w:t>
      </w:r>
      <w:r w:rsidRPr="00540424">
        <w:t xml:space="preserve"> either</w:t>
      </w:r>
      <w:r w:rsidR="00B30F63">
        <w:t xml:space="preserve"> </w:t>
      </w:r>
      <w:r>
        <w:t>(a)</w:t>
      </w:r>
      <w:r w:rsidRPr="00540424">
        <w:t xml:space="preserve"> </w:t>
      </w:r>
      <w:r>
        <w:t>supply</w:t>
      </w:r>
      <w:r w:rsidRPr="00540424">
        <w:t xml:space="preserve"> </w:t>
      </w:r>
      <w:r>
        <w:t>products</w:t>
      </w:r>
      <w:r w:rsidRPr="00540424">
        <w:t xml:space="preserve"> </w:t>
      </w:r>
      <w:r>
        <w:t>or</w:t>
      </w:r>
      <w:r w:rsidRPr="00540424">
        <w:t xml:space="preserve"> </w:t>
      </w:r>
      <w:r>
        <w:t>services</w:t>
      </w:r>
      <w:r w:rsidRPr="00540424">
        <w:t xml:space="preserve"> </w:t>
      </w:r>
      <w:r>
        <w:t>that</w:t>
      </w:r>
      <w:r w:rsidRPr="00540424">
        <w:t xml:space="preserve"> </w:t>
      </w:r>
      <w:r>
        <w:t>contribute</w:t>
      </w:r>
      <w:r w:rsidRPr="00540424">
        <w:t xml:space="preserve"> </w:t>
      </w:r>
      <w:r>
        <w:t>to</w:t>
      </w:r>
      <w:r w:rsidRPr="00540424">
        <w:t xml:space="preserve"> </w:t>
      </w:r>
      <w:r>
        <w:t>the</w:t>
      </w:r>
      <w:r w:rsidRPr="00540424">
        <w:t xml:space="preserve"> </w:t>
      </w:r>
      <w:r>
        <w:t>enterprise's</w:t>
      </w:r>
      <w:r w:rsidRPr="00540424">
        <w:t xml:space="preserve"> </w:t>
      </w:r>
      <w:r>
        <w:t>own</w:t>
      </w:r>
      <w:r w:rsidRPr="00540424">
        <w:t xml:space="preserve"> </w:t>
      </w:r>
      <w:r>
        <w:t>products</w:t>
      </w:r>
      <w:r w:rsidRPr="00540424">
        <w:t xml:space="preserve"> </w:t>
      </w:r>
      <w:r>
        <w:t>or</w:t>
      </w:r>
      <w:r w:rsidRPr="00540424">
        <w:t xml:space="preserve"> </w:t>
      </w:r>
      <w:r>
        <w:t>services</w:t>
      </w:r>
      <w:r w:rsidRPr="00540424">
        <w:t xml:space="preserve"> </w:t>
      </w:r>
      <w:r>
        <w:t>or</w:t>
      </w:r>
      <w:r w:rsidRPr="00540424">
        <w:t xml:space="preserve"> </w:t>
      </w:r>
      <w:r>
        <w:t>(b)</w:t>
      </w:r>
      <w:r w:rsidRPr="00540424">
        <w:t xml:space="preserve"> </w:t>
      </w:r>
      <w:r>
        <w:t>receive products or services from the enterprise.</w:t>
      </w:r>
    </w:p>
    <w:p w14:paraId="58B5ED18" w14:textId="46E31039" w:rsidR="008D2E02" w:rsidRDefault="00540424" w:rsidP="008D2E02">
      <w:r w:rsidRPr="00B30F63">
        <w:rPr>
          <w:b/>
          <w:bCs/>
        </w:rPr>
        <w:t>Due Diligence</w:t>
      </w:r>
      <w:r>
        <w:t>: Due diligence in the context of human rights comprises an ongoing management process designed to support the organization in meeting its responsibility to human rights. A human rights due diligence</w:t>
      </w:r>
      <w:r w:rsidRPr="00540424">
        <w:t xml:space="preserve"> </w:t>
      </w:r>
      <w:r>
        <w:t>process</w:t>
      </w:r>
      <w:r w:rsidRPr="00540424">
        <w:t xml:space="preserve"> </w:t>
      </w:r>
      <w:r>
        <w:t>should</w:t>
      </w:r>
      <w:r w:rsidRPr="00540424">
        <w:t xml:space="preserve"> </w:t>
      </w:r>
      <w:r>
        <w:t>include</w:t>
      </w:r>
      <w:r w:rsidRPr="00540424">
        <w:t xml:space="preserve"> </w:t>
      </w:r>
      <w:r>
        <w:t>assessing</w:t>
      </w:r>
      <w:r w:rsidRPr="00540424">
        <w:t xml:space="preserve"> </w:t>
      </w:r>
      <w:r>
        <w:t>actual</w:t>
      </w:r>
      <w:r w:rsidRPr="00540424">
        <w:t xml:space="preserve"> </w:t>
      </w:r>
      <w:r>
        <w:t>and</w:t>
      </w:r>
      <w:r w:rsidRPr="00540424">
        <w:t xml:space="preserve"> </w:t>
      </w:r>
      <w:r>
        <w:t>potential</w:t>
      </w:r>
      <w:r w:rsidRPr="00540424">
        <w:t xml:space="preserve"> </w:t>
      </w:r>
      <w:r>
        <w:t>human</w:t>
      </w:r>
      <w:r w:rsidRPr="00540424">
        <w:t xml:space="preserve"> </w:t>
      </w:r>
      <w:r>
        <w:t>rights impacts,</w:t>
      </w:r>
      <w:r w:rsidRPr="00540424">
        <w:t xml:space="preserve"> </w:t>
      </w:r>
      <w:r>
        <w:t>integrating</w:t>
      </w:r>
      <w:r w:rsidRPr="00540424">
        <w:t xml:space="preserve"> </w:t>
      </w:r>
      <w:r>
        <w:t>and</w:t>
      </w:r>
      <w:r w:rsidRPr="00540424">
        <w:t xml:space="preserve"> </w:t>
      </w:r>
      <w:r>
        <w:t>acting upon the findings, tracking responses and communicating how impacts are addressed.</w:t>
      </w:r>
    </w:p>
    <w:p w14:paraId="56558D5B" w14:textId="77777777" w:rsidR="008D2E02" w:rsidRDefault="008D2E02" w:rsidP="008D2E02">
      <w:pPr>
        <w:pStyle w:val="BodyText"/>
        <w:rPr>
          <w:rFonts w:asciiTheme="minorHAnsi" w:eastAsiaTheme="minorHAnsi" w:hAnsiTheme="minorHAnsi" w:cstheme="minorBidi"/>
          <w:kern w:val="2"/>
          <w:sz w:val="22"/>
          <w:szCs w:val="22"/>
          <w:lang w:val="en-GB"/>
          <w14:ligatures w14:val="standardContextual"/>
        </w:rPr>
      </w:pPr>
      <w:r w:rsidRPr="008D2E02">
        <w:rPr>
          <w:rFonts w:asciiTheme="minorHAnsi" w:eastAsiaTheme="minorHAnsi" w:hAnsiTheme="minorHAnsi" w:cstheme="minorBidi"/>
          <w:b/>
          <w:bCs/>
          <w:kern w:val="2"/>
          <w:sz w:val="22"/>
          <w:szCs w:val="22"/>
          <w:lang w:val="en-GB"/>
          <w14:ligatures w14:val="standardContextual"/>
        </w:rPr>
        <w:t>Human Rights Risk</w:t>
      </w:r>
      <w:r w:rsidRPr="008D2E02">
        <w:rPr>
          <w:rFonts w:asciiTheme="minorHAnsi" w:eastAsiaTheme="minorHAnsi" w:hAnsiTheme="minorHAnsi" w:cstheme="minorBidi"/>
          <w:kern w:val="2"/>
          <w:sz w:val="22"/>
          <w:szCs w:val="22"/>
          <w:lang w:val="en-GB"/>
          <w14:ligatures w14:val="standardContextual"/>
        </w:rPr>
        <w:t>: Any risks that a business’s operations may lead to one or more adverse human rights impacts.</w:t>
      </w:r>
    </w:p>
    <w:p w14:paraId="5952767B" w14:textId="77777777" w:rsidR="008D2E02" w:rsidRPr="008D2E02" w:rsidRDefault="008D2E02" w:rsidP="008D2E02">
      <w:pPr>
        <w:pStyle w:val="BodyText"/>
        <w:rPr>
          <w:rFonts w:asciiTheme="minorHAnsi" w:eastAsiaTheme="minorHAnsi" w:hAnsiTheme="minorHAnsi" w:cstheme="minorBidi"/>
          <w:kern w:val="2"/>
          <w:sz w:val="22"/>
          <w:szCs w:val="22"/>
          <w:lang w:val="en-GB"/>
          <w14:ligatures w14:val="standardContextual"/>
        </w:rPr>
      </w:pPr>
    </w:p>
    <w:p w14:paraId="2B1CBB85" w14:textId="77777777" w:rsidR="008D2E02" w:rsidRDefault="008D2E02" w:rsidP="008D2E02">
      <w:pPr>
        <w:pStyle w:val="BodyText"/>
        <w:rPr>
          <w:rFonts w:asciiTheme="minorHAnsi" w:eastAsiaTheme="minorHAnsi" w:hAnsiTheme="minorHAnsi" w:cstheme="minorBidi"/>
          <w:kern w:val="2"/>
          <w:sz w:val="22"/>
          <w:szCs w:val="22"/>
          <w:lang w:val="en-GB"/>
          <w14:ligatures w14:val="standardContextual"/>
        </w:rPr>
      </w:pPr>
      <w:r w:rsidRPr="008D2E02">
        <w:rPr>
          <w:rFonts w:asciiTheme="minorHAnsi" w:eastAsiaTheme="minorHAnsi" w:hAnsiTheme="minorHAnsi" w:cstheme="minorBidi"/>
          <w:b/>
          <w:bCs/>
          <w:kern w:val="2"/>
          <w:sz w:val="22"/>
          <w:szCs w:val="22"/>
          <w:lang w:val="en-GB"/>
          <w14:ligatures w14:val="standardContextual"/>
        </w:rPr>
        <w:t>Adverse Human Rights Impact</w:t>
      </w:r>
      <w:r w:rsidRPr="008D2E02">
        <w:rPr>
          <w:rFonts w:asciiTheme="minorHAnsi" w:eastAsiaTheme="minorHAnsi" w:hAnsiTheme="minorHAnsi" w:cstheme="minorBidi"/>
          <w:kern w:val="2"/>
          <w:sz w:val="22"/>
          <w:szCs w:val="22"/>
          <w:lang w:val="en-GB"/>
          <w14:ligatures w14:val="standardContextual"/>
        </w:rPr>
        <w:t>: An adverse impact occurs when an action removes or reduces the ability of an individual to enjoy his or her human rights. A human rights impact may be actual or potential. Adverse impacts may be caused by an enterprise through its own activities; may be contributed to by an enterprise either directly or indirectly through an outside entity or may be caused by someone with whom the entity does business and is linked to the entities own operations, products or services.</w:t>
      </w:r>
    </w:p>
    <w:p w14:paraId="26A33902" w14:textId="77777777" w:rsidR="008D2E02" w:rsidRPr="008D2E02" w:rsidRDefault="008D2E02" w:rsidP="008D2E02">
      <w:pPr>
        <w:pStyle w:val="BodyText"/>
        <w:rPr>
          <w:rFonts w:asciiTheme="minorHAnsi" w:eastAsiaTheme="minorHAnsi" w:hAnsiTheme="minorHAnsi" w:cstheme="minorBidi"/>
          <w:kern w:val="2"/>
          <w:sz w:val="22"/>
          <w:szCs w:val="22"/>
          <w:lang w:val="en-GB"/>
          <w14:ligatures w14:val="standardContextual"/>
        </w:rPr>
      </w:pPr>
    </w:p>
    <w:p w14:paraId="0852A088" w14:textId="5ECED605" w:rsidR="008D2E02" w:rsidRPr="008D2E02" w:rsidRDefault="008D2E02" w:rsidP="008D2E02">
      <w:pPr>
        <w:pStyle w:val="BodyText"/>
        <w:rPr>
          <w:rFonts w:asciiTheme="minorHAnsi" w:eastAsiaTheme="minorHAnsi" w:hAnsiTheme="minorHAnsi" w:cstheme="minorBidi"/>
          <w:kern w:val="2"/>
          <w:sz w:val="22"/>
          <w:szCs w:val="22"/>
          <w:lang w:val="en-GB"/>
          <w14:ligatures w14:val="standardContextual"/>
        </w:rPr>
      </w:pPr>
      <w:r w:rsidRPr="008D2E02">
        <w:rPr>
          <w:rFonts w:asciiTheme="minorHAnsi" w:eastAsiaTheme="minorHAnsi" w:hAnsiTheme="minorHAnsi" w:cstheme="minorBidi"/>
          <w:b/>
          <w:bCs/>
          <w:kern w:val="2"/>
          <w:sz w:val="22"/>
          <w:szCs w:val="22"/>
          <w:lang w:val="en-GB"/>
          <w14:ligatures w14:val="standardContextual"/>
        </w:rPr>
        <w:t>Worker</w:t>
      </w:r>
      <w:r w:rsidRPr="008D2E02">
        <w:rPr>
          <w:rFonts w:asciiTheme="minorHAnsi" w:eastAsiaTheme="minorHAnsi" w:hAnsiTheme="minorHAnsi" w:cstheme="minorBidi"/>
          <w:kern w:val="2"/>
          <w:sz w:val="22"/>
          <w:szCs w:val="22"/>
          <w:lang w:val="en-GB"/>
          <w14:ligatures w14:val="standardContextual"/>
        </w:rPr>
        <w:t>: Workers include direct employees, temporary workers, migrant workers, student workers, contract workers, and any other person(s) providing labo</w:t>
      </w:r>
      <w:r>
        <w:rPr>
          <w:rFonts w:asciiTheme="minorHAnsi" w:eastAsiaTheme="minorHAnsi" w:hAnsiTheme="minorHAnsi" w:cstheme="minorBidi"/>
          <w:kern w:val="2"/>
          <w:sz w:val="22"/>
          <w:szCs w:val="22"/>
          <w:lang w:val="en-GB"/>
          <w14:ligatures w14:val="standardContextual"/>
        </w:rPr>
        <w:t>u</w:t>
      </w:r>
      <w:r w:rsidRPr="008D2E02">
        <w:rPr>
          <w:rFonts w:asciiTheme="minorHAnsi" w:eastAsiaTheme="minorHAnsi" w:hAnsiTheme="minorHAnsi" w:cstheme="minorBidi"/>
          <w:kern w:val="2"/>
          <w:sz w:val="22"/>
          <w:szCs w:val="22"/>
          <w:lang w:val="en-GB"/>
          <w14:ligatures w14:val="standardContextual"/>
        </w:rPr>
        <w:t>r and employment services to entities in the supply chain.</w:t>
      </w:r>
    </w:p>
    <w:p w14:paraId="455A6326" w14:textId="77777777" w:rsidR="008D2E02" w:rsidRDefault="008D2E02" w:rsidP="00540424"/>
    <w:p w14:paraId="35F8EFCA" w14:textId="67BCE604" w:rsidR="00EE4A25" w:rsidRPr="00EE4A25" w:rsidRDefault="00EE4A25" w:rsidP="00540424">
      <w:pPr>
        <w:rPr>
          <w:b/>
          <w:bCs/>
          <w:sz w:val="28"/>
          <w:szCs w:val="28"/>
        </w:rPr>
      </w:pPr>
      <w:r w:rsidRPr="00EE4A25">
        <w:rPr>
          <w:b/>
          <w:bCs/>
          <w:sz w:val="28"/>
          <w:szCs w:val="28"/>
        </w:rPr>
        <w:t>Our Expectations</w:t>
      </w:r>
    </w:p>
    <w:p w14:paraId="63C66D33" w14:textId="74DA7F4D" w:rsidR="00EE4A25" w:rsidRPr="00EE4A25" w:rsidRDefault="00EE4A25" w:rsidP="00EE4A25">
      <w:pPr>
        <w:pStyle w:val="BodyText"/>
        <w:rPr>
          <w:rFonts w:asciiTheme="minorHAnsi" w:eastAsiaTheme="minorHAnsi" w:hAnsiTheme="minorHAnsi" w:cstheme="minorBidi"/>
          <w:kern w:val="2"/>
          <w:sz w:val="22"/>
          <w:szCs w:val="22"/>
          <w:lang w:val="en-GB"/>
          <w14:ligatures w14:val="standardContextual"/>
        </w:rPr>
      </w:pPr>
      <w:r>
        <w:rPr>
          <w:rFonts w:asciiTheme="minorHAnsi" w:eastAsiaTheme="minorHAnsi" w:hAnsiTheme="minorHAnsi" w:cstheme="minorBidi"/>
          <w:kern w:val="2"/>
          <w:sz w:val="22"/>
          <w:szCs w:val="22"/>
          <w:lang w:val="en-GB"/>
          <w14:ligatures w14:val="standardContextual"/>
        </w:rPr>
        <w:t>Churchill China</w:t>
      </w:r>
      <w:r w:rsidRPr="00EE4A25">
        <w:rPr>
          <w:rFonts w:asciiTheme="minorHAnsi" w:eastAsiaTheme="minorHAnsi" w:hAnsiTheme="minorHAnsi" w:cstheme="minorBidi"/>
          <w:kern w:val="2"/>
          <w:sz w:val="22"/>
          <w:szCs w:val="22"/>
          <w:lang w:val="en-GB"/>
          <w14:ligatures w14:val="standardContextual"/>
        </w:rPr>
        <w:t xml:space="preserve"> has a complex and geographically dispersed supply chain and engagement with our suppliers in this environment requires focused efforts to comply with these rules. We expect our suppliers not to be involved in forced, bonded (including debt bondage) or indentured labo</w:t>
      </w:r>
      <w:r w:rsidR="00C70262">
        <w:rPr>
          <w:rFonts w:asciiTheme="minorHAnsi" w:eastAsiaTheme="minorHAnsi" w:hAnsiTheme="minorHAnsi" w:cstheme="minorBidi"/>
          <w:kern w:val="2"/>
          <w:sz w:val="22"/>
          <w:szCs w:val="22"/>
          <w:lang w:val="en-GB"/>
          <w14:ligatures w14:val="standardContextual"/>
        </w:rPr>
        <w:t>u</w:t>
      </w:r>
      <w:r w:rsidRPr="00EE4A25">
        <w:rPr>
          <w:rFonts w:asciiTheme="minorHAnsi" w:eastAsiaTheme="minorHAnsi" w:hAnsiTheme="minorHAnsi" w:cstheme="minorBidi"/>
          <w:kern w:val="2"/>
          <w:sz w:val="22"/>
          <w:szCs w:val="22"/>
          <w:lang w:val="en-GB"/>
          <w14:ligatures w14:val="standardContextual"/>
        </w:rPr>
        <w:t>r, involuntary prison labo</w:t>
      </w:r>
      <w:r w:rsidR="00C70262">
        <w:rPr>
          <w:rFonts w:asciiTheme="minorHAnsi" w:eastAsiaTheme="minorHAnsi" w:hAnsiTheme="minorHAnsi" w:cstheme="minorBidi"/>
          <w:kern w:val="2"/>
          <w:sz w:val="22"/>
          <w:szCs w:val="22"/>
          <w:lang w:val="en-GB"/>
          <w14:ligatures w14:val="standardContextual"/>
        </w:rPr>
        <w:t>u</w:t>
      </w:r>
      <w:r w:rsidRPr="00EE4A25">
        <w:rPr>
          <w:rFonts w:asciiTheme="minorHAnsi" w:eastAsiaTheme="minorHAnsi" w:hAnsiTheme="minorHAnsi" w:cstheme="minorBidi"/>
          <w:kern w:val="2"/>
          <w:sz w:val="22"/>
          <w:szCs w:val="22"/>
          <w:lang w:val="en-GB"/>
          <w14:ligatures w14:val="standardContextual"/>
        </w:rPr>
        <w:t>r, slavery or trafficking of persons of any age at any tier of the supply chain. This includes transporting, harboring, recruiting, transferring or receiving persons by means of threat, force, coercion, abduction or fraud for labo</w:t>
      </w:r>
      <w:r w:rsidR="00C70262">
        <w:rPr>
          <w:rFonts w:asciiTheme="minorHAnsi" w:eastAsiaTheme="minorHAnsi" w:hAnsiTheme="minorHAnsi" w:cstheme="minorBidi"/>
          <w:kern w:val="2"/>
          <w:sz w:val="22"/>
          <w:szCs w:val="22"/>
          <w:lang w:val="en-GB"/>
          <w14:ligatures w14:val="standardContextual"/>
        </w:rPr>
        <w:t>u</w:t>
      </w:r>
      <w:r w:rsidRPr="00EE4A25">
        <w:rPr>
          <w:rFonts w:asciiTheme="minorHAnsi" w:eastAsiaTheme="minorHAnsi" w:hAnsiTheme="minorHAnsi" w:cstheme="minorBidi"/>
          <w:kern w:val="2"/>
          <w:sz w:val="22"/>
          <w:szCs w:val="22"/>
          <w:lang w:val="en-GB"/>
          <w14:ligatures w14:val="standardContextual"/>
        </w:rPr>
        <w:t>r or services. Suppliers, as employers or agents, may not hold or destroy employees’ identification or immigration documents, such as government-issued identification, passports or work permits, unless the holding of work permits is required by law.</w:t>
      </w:r>
    </w:p>
    <w:p w14:paraId="4E583410" w14:textId="77777777" w:rsidR="00EE4A25" w:rsidRPr="00EE4A25" w:rsidRDefault="00EE4A25" w:rsidP="00EE4A25">
      <w:pPr>
        <w:pStyle w:val="BodyText"/>
        <w:rPr>
          <w:rFonts w:asciiTheme="minorHAnsi" w:eastAsiaTheme="minorHAnsi" w:hAnsiTheme="minorHAnsi" w:cstheme="minorBidi"/>
          <w:kern w:val="2"/>
          <w:sz w:val="22"/>
          <w:szCs w:val="22"/>
          <w:lang w:val="en-GB"/>
          <w14:ligatures w14:val="standardContextual"/>
        </w:rPr>
      </w:pPr>
      <w:r w:rsidRPr="00EE4A25">
        <w:rPr>
          <w:rFonts w:asciiTheme="minorHAnsi" w:eastAsiaTheme="minorHAnsi" w:hAnsiTheme="minorHAnsi" w:cstheme="minorBidi"/>
          <w:kern w:val="2"/>
          <w:sz w:val="22"/>
          <w:szCs w:val="22"/>
          <w:lang w:val="en-GB"/>
          <w14:ligatures w14:val="standardContextual"/>
        </w:rPr>
        <w:t>Employers may not restrict workers’ freedom of movement in the facility or entering or exiting company-provided facilities. All work must be voluntary and workers shall be free to terminate their employment and leave work at any time. Employers and agents may not use misleading or fraudulent practices during the recruitment of employees. As part of the hiring process, workers must be provided with a written employment agreement in their native language that contains a description of terms and conditions of employment and the hazardous nature of the work, prior to the worker departing from his or her country of origin. Workers must not be required to pay employers’ or agents’ recruitment fees or other related fees for their employment. If any such fees are found to have been paid by workers, such fees must be repaid to the worker.</w:t>
      </w:r>
    </w:p>
    <w:p w14:paraId="28D2314A" w14:textId="7D529AF7" w:rsidR="00EE4A25" w:rsidRDefault="00EE4A25" w:rsidP="00EE4A25">
      <w:pPr>
        <w:pStyle w:val="BodyText"/>
        <w:rPr>
          <w:rFonts w:asciiTheme="minorHAnsi" w:eastAsiaTheme="minorHAnsi" w:hAnsiTheme="minorHAnsi" w:cstheme="minorBidi"/>
          <w:kern w:val="2"/>
          <w:sz w:val="22"/>
          <w:szCs w:val="22"/>
          <w:lang w:val="en-GB"/>
          <w14:ligatures w14:val="standardContextual"/>
        </w:rPr>
      </w:pPr>
      <w:r w:rsidRPr="00EE4A25">
        <w:rPr>
          <w:rFonts w:asciiTheme="minorHAnsi" w:eastAsiaTheme="minorHAnsi" w:hAnsiTheme="minorHAnsi" w:cstheme="minorBidi"/>
          <w:kern w:val="2"/>
          <w:sz w:val="22"/>
          <w:szCs w:val="22"/>
          <w:lang w:val="en-GB"/>
          <w14:ligatures w14:val="standardContextual"/>
        </w:rPr>
        <w:t>We expect our suppliers to have a compliance plan in place to ensure that human trafficking and forced labo</w:t>
      </w:r>
      <w:r w:rsidR="00C70262">
        <w:rPr>
          <w:rFonts w:asciiTheme="minorHAnsi" w:eastAsiaTheme="minorHAnsi" w:hAnsiTheme="minorHAnsi" w:cstheme="minorBidi"/>
          <w:kern w:val="2"/>
          <w:sz w:val="22"/>
          <w:szCs w:val="22"/>
          <w:lang w:val="en-GB"/>
          <w14:ligatures w14:val="standardContextual"/>
        </w:rPr>
        <w:t>u</w:t>
      </w:r>
      <w:r w:rsidRPr="00EE4A25">
        <w:rPr>
          <w:rFonts w:asciiTheme="minorHAnsi" w:eastAsiaTheme="minorHAnsi" w:hAnsiTheme="minorHAnsi" w:cstheme="minorBidi"/>
          <w:kern w:val="2"/>
          <w:sz w:val="22"/>
          <w:szCs w:val="22"/>
          <w:lang w:val="en-GB"/>
          <w14:ligatures w14:val="standardContextual"/>
        </w:rPr>
        <w:t xml:space="preserve">r are not used and that risks of worker exploitation are mitigated. We will continue to promote and encourage our suppliers to take steps to ensure that slavery and human trafficking is not taking place in any part of our supply chain or in any part of their businesses. We expect our </w:t>
      </w:r>
      <w:r w:rsidRPr="00EE4A25">
        <w:rPr>
          <w:rFonts w:asciiTheme="minorHAnsi" w:eastAsiaTheme="minorHAnsi" w:hAnsiTheme="minorHAnsi" w:cstheme="minorBidi"/>
          <w:kern w:val="2"/>
          <w:sz w:val="22"/>
          <w:szCs w:val="22"/>
          <w:lang w:val="en-GB"/>
          <w14:ligatures w14:val="standardContextual"/>
        </w:rPr>
        <w:lastRenderedPageBreak/>
        <w:t>suppliers to conduct due diligence on their respective supply chains and to assist us with our compliance with these rules.</w:t>
      </w:r>
    </w:p>
    <w:p w14:paraId="536999D1" w14:textId="77777777" w:rsidR="009703D9" w:rsidRDefault="009703D9" w:rsidP="00EE4A25">
      <w:pPr>
        <w:pStyle w:val="BodyText"/>
        <w:rPr>
          <w:rFonts w:asciiTheme="minorHAnsi" w:eastAsiaTheme="minorHAnsi" w:hAnsiTheme="minorHAnsi" w:cstheme="minorBidi"/>
          <w:kern w:val="2"/>
          <w:sz w:val="22"/>
          <w:szCs w:val="22"/>
          <w:lang w:val="en-GB"/>
          <w14:ligatures w14:val="standardContextual"/>
        </w:rPr>
      </w:pPr>
    </w:p>
    <w:p w14:paraId="1EAB045C" w14:textId="77777777" w:rsidR="009703D9" w:rsidRPr="009703D9" w:rsidRDefault="009703D9" w:rsidP="009703D9">
      <w:pPr>
        <w:pStyle w:val="BodyText"/>
        <w:rPr>
          <w:rFonts w:asciiTheme="minorHAnsi" w:eastAsiaTheme="minorHAnsi" w:hAnsiTheme="minorHAnsi" w:cstheme="minorBidi"/>
          <w:kern w:val="2"/>
          <w:sz w:val="22"/>
          <w:szCs w:val="22"/>
          <w:lang w:val="en-GB"/>
          <w14:ligatures w14:val="standardContextual"/>
        </w:rPr>
      </w:pPr>
      <w:r w:rsidRPr="009703D9">
        <w:rPr>
          <w:rFonts w:asciiTheme="minorHAnsi" w:eastAsiaTheme="minorHAnsi" w:hAnsiTheme="minorHAnsi" w:cstheme="minorBidi"/>
          <w:kern w:val="2"/>
          <w:sz w:val="22"/>
          <w:szCs w:val="22"/>
          <w:lang w:val="en-GB"/>
          <w14:ligatures w14:val="standardContextual"/>
        </w:rPr>
        <w:t>To the extent that a supplier refuses to cooperate with our compliance efforts, we may reconsider our supply arrangement and implement remedies available to us.</w:t>
      </w:r>
    </w:p>
    <w:p w14:paraId="13FED0E7" w14:textId="77777777" w:rsidR="009703D9" w:rsidRDefault="009703D9" w:rsidP="00EE4A25">
      <w:pPr>
        <w:pStyle w:val="BodyText"/>
        <w:rPr>
          <w:rFonts w:asciiTheme="minorHAnsi" w:eastAsiaTheme="minorHAnsi" w:hAnsiTheme="minorHAnsi" w:cstheme="minorBidi"/>
          <w:kern w:val="2"/>
          <w:sz w:val="22"/>
          <w:szCs w:val="22"/>
          <w:lang w:val="en-GB"/>
          <w14:ligatures w14:val="standardContextual"/>
        </w:rPr>
      </w:pPr>
    </w:p>
    <w:p w14:paraId="02756291" w14:textId="77EACB43" w:rsidR="009703D9" w:rsidRPr="009703D9" w:rsidRDefault="009703D9" w:rsidP="009703D9">
      <w:pPr>
        <w:rPr>
          <w:b/>
          <w:bCs/>
          <w:sz w:val="28"/>
          <w:szCs w:val="28"/>
        </w:rPr>
      </w:pPr>
      <w:r w:rsidRPr="009703D9">
        <w:rPr>
          <w:b/>
          <w:bCs/>
          <w:sz w:val="28"/>
          <w:szCs w:val="28"/>
        </w:rPr>
        <w:t>Reporting Concerns</w:t>
      </w:r>
    </w:p>
    <w:p w14:paraId="26F4B832" w14:textId="2651209E" w:rsidR="00EE4A25" w:rsidRPr="009703D9" w:rsidRDefault="00430A91" w:rsidP="009703D9">
      <w:pPr>
        <w:pStyle w:val="BodyText"/>
        <w:rPr>
          <w:rFonts w:asciiTheme="minorHAnsi" w:eastAsiaTheme="minorHAnsi" w:hAnsiTheme="minorHAnsi" w:cstheme="minorBidi"/>
          <w:kern w:val="2"/>
          <w:sz w:val="22"/>
          <w:szCs w:val="22"/>
          <w:lang w:val="en-GB"/>
          <w14:ligatures w14:val="standardContextual"/>
        </w:rPr>
      </w:pPr>
      <w:r>
        <w:rPr>
          <w:rFonts w:asciiTheme="minorHAnsi" w:eastAsiaTheme="minorHAnsi" w:hAnsiTheme="minorHAnsi" w:cstheme="minorBidi"/>
          <w:kern w:val="2"/>
          <w:sz w:val="22"/>
          <w:szCs w:val="22"/>
          <w:lang w:val="en-GB"/>
          <w14:ligatures w14:val="standardContextual"/>
        </w:rPr>
        <w:t xml:space="preserve">Churchill China </w:t>
      </w:r>
      <w:r w:rsidR="00EE4A25" w:rsidRPr="009703D9">
        <w:rPr>
          <w:rFonts w:asciiTheme="minorHAnsi" w:eastAsiaTheme="minorHAnsi" w:hAnsiTheme="minorHAnsi" w:cstheme="minorBidi"/>
          <w:kern w:val="2"/>
          <w:sz w:val="22"/>
          <w:szCs w:val="22"/>
          <w:lang w:val="en-GB"/>
          <w14:ligatures w14:val="standardContextual"/>
        </w:rPr>
        <w:t>maintains a</w:t>
      </w:r>
      <w:r w:rsidR="004D0B42">
        <w:rPr>
          <w:rFonts w:asciiTheme="minorHAnsi" w:eastAsiaTheme="minorHAnsi" w:hAnsiTheme="minorHAnsi" w:cstheme="minorBidi"/>
          <w:kern w:val="2"/>
          <w:sz w:val="22"/>
          <w:szCs w:val="22"/>
          <w:lang w:val="en-GB"/>
          <w14:ligatures w14:val="standardContextual"/>
        </w:rPr>
        <w:t xml:space="preserve">n </w:t>
      </w:r>
      <w:r w:rsidR="000959D4">
        <w:rPr>
          <w:rFonts w:asciiTheme="minorHAnsi" w:eastAsiaTheme="minorHAnsi" w:hAnsiTheme="minorHAnsi" w:cstheme="minorBidi"/>
          <w:kern w:val="2"/>
          <w:sz w:val="22"/>
          <w:szCs w:val="22"/>
          <w:lang w:val="en-GB"/>
          <w14:ligatures w14:val="standardContextual"/>
        </w:rPr>
        <w:t>email-based</w:t>
      </w:r>
      <w:r w:rsidR="00EE4A25" w:rsidRPr="009703D9">
        <w:rPr>
          <w:rFonts w:asciiTheme="minorHAnsi" w:eastAsiaTheme="minorHAnsi" w:hAnsiTheme="minorHAnsi" w:cstheme="minorBidi"/>
          <w:kern w:val="2"/>
          <w:sz w:val="22"/>
          <w:szCs w:val="22"/>
          <w:lang w:val="en-GB"/>
          <w14:ligatures w14:val="standardContextual"/>
        </w:rPr>
        <w:t xml:space="preserve"> Integrity</w:t>
      </w:r>
      <w:r w:rsidR="004D0B42">
        <w:rPr>
          <w:rFonts w:asciiTheme="minorHAnsi" w:eastAsiaTheme="minorHAnsi" w:hAnsiTheme="minorHAnsi" w:cstheme="minorBidi"/>
          <w:kern w:val="2"/>
          <w:sz w:val="22"/>
          <w:szCs w:val="22"/>
          <w:lang w:val="en-GB"/>
          <w14:ligatures w14:val="standardContextual"/>
        </w:rPr>
        <w:t xml:space="preserve"> Reporting </w:t>
      </w:r>
      <w:r w:rsidR="00B10677">
        <w:rPr>
          <w:rFonts w:asciiTheme="minorHAnsi" w:eastAsiaTheme="minorHAnsi" w:hAnsiTheme="minorHAnsi" w:cstheme="minorBidi"/>
          <w:kern w:val="2"/>
          <w:sz w:val="22"/>
          <w:szCs w:val="22"/>
          <w:lang w:val="en-GB"/>
          <w14:ligatures w14:val="standardContextual"/>
        </w:rPr>
        <w:t>system</w:t>
      </w:r>
      <w:r w:rsidR="00EE4A25" w:rsidRPr="009703D9">
        <w:rPr>
          <w:rFonts w:asciiTheme="minorHAnsi" w:eastAsiaTheme="minorHAnsi" w:hAnsiTheme="minorHAnsi" w:cstheme="minorBidi"/>
          <w:kern w:val="2"/>
          <w:sz w:val="22"/>
          <w:szCs w:val="22"/>
          <w:lang w:val="en-GB"/>
          <w14:ligatures w14:val="standardContextual"/>
        </w:rPr>
        <w:t xml:space="preserve"> </w:t>
      </w:r>
      <w:hyperlink r:id="rId8" w:history="1">
        <w:r w:rsidR="00A67454" w:rsidRPr="00FA15A1">
          <w:rPr>
            <w:rStyle w:val="Hyperlink"/>
            <w:rFonts w:asciiTheme="minorHAnsi" w:eastAsiaTheme="minorHAnsi" w:hAnsiTheme="minorHAnsi" w:cstheme="minorBidi"/>
            <w:kern w:val="2"/>
            <w:sz w:val="22"/>
            <w:szCs w:val="22"/>
            <w:lang w:val="en-GB"/>
            <w14:ligatures w14:val="standardContextual"/>
          </w:rPr>
          <w:t>(ethics@churchill1795.com</w:t>
        </w:r>
      </w:hyperlink>
      <w:r w:rsidR="00EE4A25" w:rsidRPr="009703D9">
        <w:rPr>
          <w:rFonts w:asciiTheme="minorHAnsi" w:eastAsiaTheme="minorHAnsi" w:hAnsiTheme="minorHAnsi" w:cstheme="minorBidi"/>
          <w:kern w:val="2"/>
          <w:sz w:val="22"/>
          <w:szCs w:val="22"/>
          <w:lang w:val="en-GB"/>
          <w14:ligatures w14:val="standardContextual"/>
        </w:rPr>
        <w:t xml:space="preserve">), providing any interested party a confidential reporting mechanism to communicate issues regarding </w:t>
      </w:r>
      <w:r w:rsidR="002D6B1F">
        <w:rPr>
          <w:rFonts w:asciiTheme="minorHAnsi" w:eastAsiaTheme="minorHAnsi" w:hAnsiTheme="minorHAnsi" w:cstheme="minorBidi"/>
          <w:kern w:val="2"/>
          <w:sz w:val="22"/>
          <w:szCs w:val="22"/>
          <w:lang w:val="en-GB"/>
          <w14:ligatures w14:val="standardContextual"/>
        </w:rPr>
        <w:t xml:space="preserve">Churchill Chinas’ </w:t>
      </w:r>
      <w:r w:rsidR="00EE4A25" w:rsidRPr="009703D9">
        <w:rPr>
          <w:rFonts w:asciiTheme="minorHAnsi" w:eastAsiaTheme="minorHAnsi" w:hAnsiTheme="minorHAnsi" w:cstheme="minorBidi"/>
          <w:kern w:val="2"/>
          <w:sz w:val="22"/>
          <w:szCs w:val="22"/>
          <w:lang w:val="en-GB"/>
          <w14:ligatures w14:val="standardContextual"/>
        </w:rPr>
        <w:t>supply chain.</w:t>
      </w:r>
    </w:p>
    <w:p w14:paraId="006298DC" w14:textId="154B2B96" w:rsidR="006C0872" w:rsidRPr="006C0872" w:rsidRDefault="00086688">
      <w:r>
        <w:t xml:space="preserve"> </w:t>
      </w:r>
    </w:p>
    <w:p w14:paraId="032E6203" w14:textId="11877F2A" w:rsidR="006C0872" w:rsidRDefault="006C0872">
      <w:r>
        <w:t xml:space="preserve"> </w:t>
      </w:r>
    </w:p>
    <w:p w14:paraId="24672245" w14:textId="77777777" w:rsidR="000959D4" w:rsidRDefault="000959D4"/>
    <w:p w14:paraId="785A3446" w14:textId="6B0CB8A8" w:rsidR="000959D4" w:rsidRDefault="000959D4">
      <w:r>
        <w:t>David O’Connor</w:t>
      </w:r>
    </w:p>
    <w:p w14:paraId="579F8CC6" w14:textId="40916395" w:rsidR="000959D4" w:rsidRDefault="000959D4">
      <w:r>
        <w:t>Chief Executive Officer</w:t>
      </w:r>
    </w:p>
    <w:p w14:paraId="4FA695E0" w14:textId="42E03149" w:rsidR="000959D4" w:rsidRDefault="000959D4">
      <w:r>
        <w:t>Approved by the Board 3</w:t>
      </w:r>
      <w:r w:rsidRPr="000959D4">
        <w:rPr>
          <w:vertAlign w:val="superscript"/>
        </w:rPr>
        <w:t>rd</w:t>
      </w:r>
      <w:r>
        <w:t xml:space="preserve"> April 2024</w:t>
      </w:r>
    </w:p>
    <w:sectPr w:rsidR="000959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7FB7" w14:textId="77777777" w:rsidR="00287FDF" w:rsidRDefault="00287FDF">
      <w:pPr>
        <w:spacing w:after="0" w:line="240" w:lineRule="auto"/>
      </w:pPr>
      <w:r>
        <w:separator/>
      </w:r>
    </w:p>
  </w:endnote>
  <w:endnote w:type="continuationSeparator" w:id="0">
    <w:p w14:paraId="67B2D8D4" w14:textId="77777777" w:rsidR="00287FDF" w:rsidRDefault="0028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4986" w14:textId="77777777" w:rsidR="00287FDF" w:rsidRDefault="00287FDF">
      <w:pPr>
        <w:spacing w:after="0" w:line="240" w:lineRule="auto"/>
      </w:pPr>
      <w:r>
        <w:separator/>
      </w:r>
    </w:p>
  </w:footnote>
  <w:footnote w:type="continuationSeparator" w:id="0">
    <w:p w14:paraId="5E363C75" w14:textId="77777777" w:rsidR="00287FDF" w:rsidRDefault="0028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23C8"/>
    <w:multiLevelType w:val="hybridMultilevel"/>
    <w:tmpl w:val="B492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70214"/>
    <w:multiLevelType w:val="hybridMultilevel"/>
    <w:tmpl w:val="FFFFFFFF"/>
    <w:lvl w:ilvl="0" w:tplc="BE0C7058">
      <w:start w:val="1"/>
      <w:numFmt w:val="decimal"/>
      <w:lvlText w:val="%1."/>
      <w:lvlJc w:val="left"/>
      <w:pPr>
        <w:ind w:left="1140" w:hanging="269"/>
      </w:pPr>
      <w:rPr>
        <w:rFonts w:ascii="Arial" w:eastAsia="Times New Roman" w:hAnsi="Arial" w:cs="Arial" w:hint="default"/>
        <w:b w:val="0"/>
        <w:bCs w:val="0"/>
        <w:i w:val="0"/>
        <w:iCs w:val="0"/>
        <w:spacing w:val="0"/>
        <w:w w:val="99"/>
        <w:sz w:val="18"/>
        <w:szCs w:val="18"/>
      </w:rPr>
    </w:lvl>
    <w:lvl w:ilvl="1" w:tplc="4F92212E">
      <w:numFmt w:val="bullet"/>
      <w:lvlText w:val=""/>
      <w:lvlJc w:val="left"/>
      <w:pPr>
        <w:ind w:left="1140" w:hanging="269"/>
      </w:pPr>
      <w:rPr>
        <w:rFonts w:ascii="Symbol" w:eastAsia="Times New Roman" w:hAnsi="Symbol" w:hint="default"/>
        <w:b w:val="0"/>
        <w:i w:val="0"/>
        <w:spacing w:val="0"/>
        <w:w w:val="100"/>
        <w:sz w:val="18"/>
      </w:rPr>
    </w:lvl>
    <w:lvl w:ilvl="2" w:tplc="576E993A">
      <w:numFmt w:val="bullet"/>
      <w:lvlText w:val="•"/>
      <w:lvlJc w:val="left"/>
      <w:pPr>
        <w:ind w:left="2924" w:hanging="269"/>
      </w:pPr>
      <w:rPr>
        <w:rFonts w:hint="default"/>
      </w:rPr>
    </w:lvl>
    <w:lvl w:ilvl="3" w:tplc="E53CCFFE">
      <w:numFmt w:val="bullet"/>
      <w:lvlText w:val="•"/>
      <w:lvlJc w:val="left"/>
      <w:pPr>
        <w:ind w:left="3816" w:hanging="269"/>
      </w:pPr>
      <w:rPr>
        <w:rFonts w:hint="default"/>
      </w:rPr>
    </w:lvl>
    <w:lvl w:ilvl="4" w:tplc="C784BEF2">
      <w:numFmt w:val="bullet"/>
      <w:lvlText w:val="•"/>
      <w:lvlJc w:val="left"/>
      <w:pPr>
        <w:ind w:left="4708" w:hanging="269"/>
      </w:pPr>
      <w:rPr>
        <w:rFonts w:hint="default"/>
      </w:rPr>
    </w:lvl>
    <w:lvl w:ilvl="5" w:tplc="D0FE54B6">
      <w:numFmt w:val="bullet"/>
      <w:lvlText w:val="•"/>
      <w:lvlJc w:val="left"/>
      <w:pPr>
        <w:ind w:left="5600" w:hanging="269"/>
      </w:pPr>
      <w:rPr>
        <w:rFonts w:hint="default"/>
      </w:rPr>
    </w:lvl>
    <w:lvl w:ilvl="6" w:tplc="53066DD8">
      <w:numFmt w:val="bullet"/>
      <w:lvlText w:val="•"/>
      <w:lvlJc w:val="left"/>
      <w:pPr>
        <w:ind w:left="6492" w:hanging="269"/>
      </w:pPr>
      <w:rPr>
        <w:rFonts w:hint="default"/>
      </w:rPr>
    </w:lvl>
    <w:lvl w:ilvl="7" w:tplc="6D52457A">
      <w:numFmt w:val="bullet"/>
      <w:lvlText w:val="•"/>
      <w:lvlJc w:val="left"/>
      <w:pPr>
        <w:ind w:left="7384" w:hanging="269"/>
      </w:pPr>
      <w:rPr>
        <w:rFonts w:hint="default"/>
      </w:rPr>
    </w:lvl>
    <w:lvl w:ilvl="8" w:tplc="EE6422E2">
      <w:numFmt w:val="bullet"/>
      <w:lvlText w:val="•"/>
      <w:lvlJc w:val="left"/>
      <w:pPr>
        <w:ind w:left="8276" w:hanging="269"/>
      </w:pPr>
      <w:rPr>
        <w:rFonts w:hint="default"/>
      </w:rPr>
    </w:lvl>
  </w:abstractNum>
  <w:num w:numId="1" w16cid:durableId="1169638934">
    <w:abstractNumId w:val="1"/>
  </w:num>
  <w:num w:numId="2" w16cid:durableId="119203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72"/>
    <w:rsid w:val="000466A3"/>
    <w:rsid w:val="00086688"/>
    <w:rsid w:val="000959D4"/>
    <w:rsid w:val="000A38FD"/>
    <w:rsid w:val="000E027B"/>
    <w:rsid w:val="00187028"/>
    <w:rsid w:val="00262CE2"/>
    <w:rsid w:val="00287FDF"/>
    <w:rsid w:val="002D6B1F"/>
    <w:rsid w:val="0039140C"/>
    <w:rsid w:val="00430A91"/>
    <w:rsid w:val="004D0B42"/>
    <w:rsid w:val="00522198"/>
    <w:rsid w:val="00540424"/>
    <w:rsid w:val="00565008"/>
    <w:rsid w:val="0057768A"/>
    <w:rsid w:val="005C2D4D"/>
    <w:rsid w:val="006523D7"/>
    <w:rsid w:val="006C0872"/>
    <w:rsid w:val="00710778"/>
    <w:rsid w:val="00764600"/>
    <w:rsid w:val="008D2E02"/>
    <w:rsid w:val="00935C69"/>
    <w:rsid w:val="0094175A"/>
    <w:rsid w:val="009606CE"/>
    <w:rsid w:val="009703D9"/>
    <w:rsid w:val="009B7F92"/>
    <w:rsid w:val="00A204A3"/>
    <w:rsid w:val="00A47C5C"/>
    <w:rsid w:val="00A67454"/>
    <w:rsid w:val="00AA04CC"/>
    <w:rsid w:val="00B10677"/>
    <w:rsid w:val="00B30F63"/>
    <w:rsid w:val="00BD012D"/>
    <w:rsid w:val="00BD1D91"/>
    <w:rsid w:val="00BF2E75"/>
    <w:rsid w:val="00BF76DB"/>
    <w:rsid w:val="00C70262"/>
    <w:rsid w:val="00CF0114"/>
    <w:rsid w:val="00D30B14"/>
    <w:rsid w:val="00D94A1A"/>
    <w:rsid w:val="00DC06B6"/>
    <w:rsid w:val="00E04DE0"/>
    <w:rsid w:val="00EE4A25"/>
    <w:rsid w:val="00F7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E83C9"/>
  <w15:docId w15:val="{9E36387A-59E3-4183-BE83-A0A50D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87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C087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087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087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C087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C08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08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08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08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87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C08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087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C087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C087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C08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08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08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0872"/>
    <w:rPr>
      <w:rFonts w:eastAsiaTheme="majorEastAsia" w:cstheme="majorBidi"/>
      <w:color w:val="272727" w:themeColor="text1" w:themeTint="D8"/>
    </w:rPr>
  </w:style>
  <w:style w:type="paragraph" w:styleId="Title">
    <w:name w:val="Title"/>
    <w:basedOn w:val="Normal"/>
    <w:next w:val="Normal"/>
    <w:link w:val="TitleChar"/>
    <w:uiPriority w:val="10"/>
    <w:qFormat/>
    <w:rsid w:val="006C08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8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08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08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0872"/>
    <w:pPr>
      <w:spacing w:before="160"/>
      <w:jc w:val="center"/>
    </w:pPr>
    <w:rPr>
      <w:i/>
      <w:iCs/>
      <w:color w:val="404040" w:themeColor="text1" w:themeTint="BF"/>
    </w:rPr>
  </w:style>
  <w:style w:type="character" w:customStyle="1" w:styleId="QuoteChar">
    <w:name w:val="Quote Char"/>
    <w:basedOn w:val="DefaultParagraphFont"/>
    <w:link w:val="Quote"/>
    <w:uiPriority w:val="29"/>
    <w:rsid w:val="006C0872"/>
    <w:rPr>
      <w:i/>
      <w:iCs/>
      <w:color w:val="404040" w:themeColor="text1" w:themeTint="BF"/>
    </w:rPr>
  </w:style>
  <w:style w:type="paragraph" w:styleId="ListParagraph">
    <w:name w:val="List Paragraph"/>
    <w:basedOn w:val="Normal"/>
    <w:uiPriority w:val="1"/>
    <w:qFormat/>
    <w:rsid w:val="006C0872"/>
    <w:pPr>
      <w:ind w:left="720"/>
      <w:contextualSpacing/>
    </w:pPr>
  </w:style>
  <w:style w:type="character" w:styleId="IntenseEmphasis">
    <w:name w:val="Intense Emphasis"/>
    <w:basedOn w:val="DefaultParagraphFont"/>
    <w:uiPriority w:val="21"/>
    <w:qFormat/>
    <w:rsid w:val="006C0872"/>
    <w:rPr>
      <w:i/>
      <w:iCs/>
      <w:color w:val="2F5496" w:themeColor="accent1" w:themeShade="BF"/>
    </w:rPr>
  </w:style>
  <w:style w:type="paragraph" w:styleId="IntenseQuote">
    <w:name w:val="Intense Quote"/>
    <w:basedOn w:val="Normal"/>
    <w:next w:val="Normal"/>
    <w:link w:val="IntenseQuoteChar"/>
    <w:uiPriority w:val="30"/>
    <w:qFormat/>
    <w:rsid w:val="006C087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C0872"/>
    <w:rPr>
      <w:i/>
      <w:iCs/>
      <w:color w:val="2F5496" w:themeColor="accent1" w:themeShade="BF"/>
    </w:rPr>
  </w:style>
  <w:style w:type="character" w:styleId="IntenseReference">
    <w:name w:val="Intense Reference"/>
    <w:basedOn w:val="DefaultParagraphFont"/>
    <w:uiPriority w:val="32"/>
    <w:qFormat/>
    <w:rsid w:val="006C0872"/>
    <w:rPr>
      <w:b/>
      <w:bCs/>
      <w:smallCaps/>
      <w:color w:val="2F5496" w:themeColor="accent1" w:themeShade="BF"/>
      <w:spacing w:val="5"/>
    </w:rPr>
  </w:style>
  <w:style w:type="paragraph" w:styleId="BodyText">
    <w:name w:val="Body Text"/>
    <w:basedOn w:val="Normal"/>
    <w:link w:val="BodyTextChar"/>
    <w:uiPriority w:val="1"/>
    <w:qFormat/>
    <w:rsid w:val="00565008"/>
    <w:pPr>
      <w:widowControl w:val="0"/>
      <w:autoSpaceDE w:val="0"/>
      <w:autoSpaceDN w:val="0"/>
      <w:spacing w:after="0" w:line="240" w:lineRule="auto"/>
    </w:pPr>
    <w:rPr>
      <w:rFonts w:ascii="Arial" w:eastAsia="Times New Roman" w:hAnsi="Arial" w:cs="Arial"/>
      <w:kern w:val="0"/>
      <w:sz w:val="18"/>
      <w:szCs w:val="18"/>
      <w:lang w:val="en-US"/>
      <w14:ligatures w14:val="none"/>
    </w:rPr>
  </w:style>
  <w:style w:type="character" w:customStyle="1" w:styleId="BodyTextChar">
    <w:name w:val="Body Text Char"/>
    <w:basedOn w:val="DefaultParagraphFont"/>
    <w:link w:val="BodyText"/>
    <w:uiPriority w:val="1"/>
    <w:rsid w:val="00565008"/>
    <w:rPr>
      <w:rFonts w:ascii="Arial" w:eastAsia="Times New Roman" w:hAnsi="Arial" w:cs="Arial"/>
      <w:kern w:val="0"/>
      <w:sz w:val="18"/>
      <w:szCs w:val="18"/>
      <w:lang w:val="en-US"/>
      <w14:ligatures w14:val="none"/>
    </w:rPr>
  </w:style>
  <w:style w:type="character" w:styleId="Hyperlink">
    <w:name w:val="Hyperlink"/>
    <w:basedOn w:val="DefaultParagraphFont"/>
    <w:uiPriority w:val="99"/>
    <w:unhideWhenUsed/>
    <w:rsid w:val="00A67454"/>
    <w:rPr>
      <w:color w:val="0563C1" w:themeColor="hyperlink"/>
      <w:u w:val="single"/>
    </w:rPr>
  </w:style>
  <w:style w:type="character" w:styleId="UnresolvedMention">
    <w:name w:val="Unresolved Mention"/>
    <w:basedOn w:val="DefaultParagraphFont"/>
    <w:uiPriority w:val="99"/>
    <w:semiHidden/>
    <w:unhideWhenUsed/>
    <w:rsid w:val="00A6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thics@churchill1795.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B2DA-CADC-4C05-AB28-AE518AAC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Cunningham</dc:creator>
  <cp:keywords/>
  <dc:description/>
  <cp:lastModifiedBy>Marc Sinclair</cp:lastModifiedBy>
  <cp:revision>35</cp:revision>
  <dcterms:created xsi:type="dcterms:W3CDTF">2024-02-23T10:21:00Z</dcterms:created>
  <dcterms:modified xsi:type="dcterms:W3CDTF">2024-04-17T15:06:00Z</dcterms:modified>
</cp:coreProperties>
</file>